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06EB917A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CC76B1">
        <w:rPr>
          <w:b/>
          <w:color w:val="005870" w:themeColor="text1"/>
          <w:sz w:val="47"/>
        </w:rPr>
        <w:t>Scope of Work: Family Advisory – Surveillance and Screening Co-Design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7236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45D604F" w14:textId="77777777" w:rsidR="008E016B" w:rsidRPr="00A872CF" w:rsidRDefault="008E016B" w:rsidP="008E016B">
      <w:pPr>
        <w:pStyle w:val="MM-BodyText"/>
        <w:spacing w:before="0" w:after="0" w:line="240" w:lineRule="auto"/>
        <w:jc w:val="left"/>
      </w:pPr>
      <w:r w:rsidRPr="00A872CF">
        <w:t>This scope of work outlines the responsibilities and expectations for a Family Advisor who will partner with the community health center to inform and co-design developmental surveillance and screening processes. The ideal candidate brings lived experience as a caregiver and strategic insight as a member of the Health Center’s Board of Directors.</w:t>
      </w:r>
    </w:p>
    <w:p w14:paraId="5D44750A" w14:textId="77777777" w:rsidR="008E016B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264ADF45" w14:textId="77777777" w:rsidR="008E016B" w:rsidRPr="00A872CF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Role Purpose</w:t>
      </w:r>
    </w:p>
    <w:p w14:paraId="21641D5B" w14:textId="77777777" w:rsidR="008E016B" w:rsidRPr="00A872CF" w:rsidRDefault="008E016B" w:rsidP="008E016B">
      <w:pPr>
        <w:pStyle w:val="MM-BodyText"/>
        <w:spacing w:before="0" w:after="0" w:line="240" w:lineRule="auto"/>
        <w:jc w:val="left"/>
      </w:pPr>
      <w:r w:rsidRPr="00A872CF">
        <w:t xml:space="preserve">The Family Advisor will help ensure that surveillance and screening processes reflect the needs, preferences, and experiences of families served by the health center. They will act as a bridge between leadership and the community, bringing insights from both perspectives to shape more </w:t>
      </w:r>
      <w:r>
        <w:t>comprehensive</w:t>
      </w:r>
      <w:r w:rsidRPr="00A872CF">
        <w:t>, family-centered systems.</w:t>
      </w:r>
    </w:p>
    <w:p w14:paraId="18C6E3E2" w14:textId="77777777" w:rsidR="008E016B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212114F1" w14:textId="77777777" w:rsidR="008E016B" w:rsidRPr="00A872CF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Key Responsibilities</w:t>
      </w:r>
    </w:p>
    <w:p w14:paraId="0D2D321A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Participate in planning meetings and working sessions related to early childhood screening and surveillance.</w:t>
      </w:r>
    </w:p>
    <w:p w14:paraId="19E7CD0A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Review and provide input on tools, workflows, forms, and family-facing materials (e.g., screening reminders, handouts).</w:t>
      </w:r>
    </w:p>
    <w:p w14:paraId="6CB1B7F2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 xml:space="preserve">Serve as a liaison between families and health center leadership, sharing insights and </w:t>
      </w:r>
      <w:proofErr w:type="gramStart"/>
      <w:r w:rsidRPr="00A872CF">
        <w:t>lifting up</w:t>
      </w:r>
      <w:proofErr w:type="gramEnd"/>
      <w:r w:rsidRPr="00A872CF">
        <w:t xml:space="preserve"> community feedback.</w:t>
      </w:r>
    </w:p>
    <w:p w14:paraId="78EAAB68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Co-design and help facilitate feedback mechanisms such as surveys or focus groups.</w:t>
      </w:r>
    </w:p>
    <w:p w14:paraId="5DBEB595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Participate in Family Advisory Group meetings and support engagement of other family members.</w:t>
      </w:r>
      <w:r w:rsidRPr="00A872CF">
        <w:rPr>
          <w:noProof/>
          <w14:ligatures w14:val="standardContextual"/>
        </w:rPr>
        <w:t xml:space="preserve"> </w:t>
      </w:r>
    </w:p>
    <w:p w14:paraId="7848F842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Help evaluate pilot projects and offer recommendations for refinement and sustainability.</w:t>
      </w:r>
    </w:p>
    <w:p w14:paraId="2268E1BB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Maintain regular communication with staff and provide brief written or verbal summaries when needed.</w:t>
      </w:r>
    </w:p>
    <w:p w14:paraId="2CA89030" w14:textId="77777777" w:rsidR="008E016B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59B03F54" w14:textId="77777777" w:rsidR="008E016B" w:rsidRPr="00A872CF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Time Commitment</w:t>
      </w:r>
    </w:p>
    <w:p w14:paraId="597A54B4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>
        <w:t>Estimated 2-4 hours per month</w:t>
      </w:r>
    </w:p>
    <w:p w14:paraId="45105967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Monthly meetings (virtual or in-person), plus ad-hoc feedback sessions as needed</w:t>
      </w:r>
    </w:p>
    <w:p w14:paraId="1F42A05B" w14:textId="77777777" w:rsidR="008E016B" w:rsidRPr="00A872CF" w:rsidRDefault="008E016B" w:rsidP="008E016B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Term: 6 months, with the option to renew or expand based on interest and project needs</w:t>
      </w:r>
    </w:p>
    <w:p w14:paraId="5A0E9807" w14:textId="77777777" w:rsidR="008E016B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0FD622EF" w14:textId="77777777" w:rsidR="00651BB8" w:rsidRDefault="00651BB8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7CEB1DA1" w14:textId="77777777" w:rsidR="008E016B" w:rsidRPr="00A872CF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lastRenderedPageBreak/>
        <w:t>Compensation</w:t>
      </w:r>
    </w:p>
    <w:p w14:paraId="62DCA891" w14:textId="77777777" w:rsidR="008E016B" w:rsidRPr="00A872CF" w:rsidRDefault="008E016B" w:rsidP="008E016B">
      <w:pPr>
        <w:pStyle w:val="MM-BodyText"/>
        <w:spacing w:before="0" w:after="0" w:line="240" w:lineRule="auto"/>
        <w:jc w:val="left"/>
      </w:pPr>
      <w:r w:rsidRPr="00A872CF">
        <w:t xml:space="preserve">Family Advisors will receive a monthly stipend or gift card in the amount of </w:t>
      </w:r>
      <w:r>
        <w:t>[</w:t>
      </w:r>
      <w:r w:rsidRPr="00A872CF">
        <w:t>XX</w:t>
      </w:r>
      <w:r>
        <w:t>]</w:t>
      </w:r>
      <w:r w:rsidRPr="00A872CF">
        <w:t xml:space="preserve"> as a token of appreciation for their time and contributions.</w:t>
      </w:r>
    </w:p>
    <w:p w14:paraId="463B9EEA" w14:textId="77777777" w:rsidR="008E016B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</w:p>
    <w:p w14:paraId="784C417C" w14:textId="77777777" w:rsidR="008E016B" w:rsidRPr="00A872CF" w:rsidRDefault="008E016B" w:rsidP="008E016B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Qualifications</w:t>
      </w:r>
    </w:p>
    <w:p w14:paraId="20792105" w14:textId="77777777" w:rsidR="008E016B" w:rsidRPr="00A872CF" w:rsidRDefault="008E016B" w:rsidP="008E016B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>
        <w:t>Current recipient of pediatric services at the community health center.</w:t>
      </w:r>
    </w:p>
    <w:p w14:paraId="61F470BD" w14:textId="77777777" w:rsidR="008E016B" w:rsidRPr="00A872CF" w:rsidRDefault="008E016B" w:rsidP="008E016B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Parent, guardian, or primary caregiver of a child under age 6.</w:t>
      </w:r>
    </w:p>
    <w:p w14:paraId="7995FE24" w14:textId="77777777" w:rsidR="008E016B" w:rsidRPr="00A872CF" w:rsidRDefault="008E016B" w:rsidP="008E016B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>
        <w:t>Experience serving on the Health Center Board of Directors.</w:t>
      </w:r>
    </w:p>
    <w:p w14:paraId="0A43921C" w14:textId="77777777" w:rsidR="008E016B" w:rsidRPr="00A872CF" w:rsidRDefault="008E016B" w:rsidP="008E016B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Interest in improving family-centered care and early childhood development services.</w:t>
      </w:r>
    </w:p>
    <w:p w14:paraId="5D48E65B" w14:textId="77777777" w:rsidR="008E016B" w:rsidRPr="00A872CF" w:rsidRDefault="008E016B" w:rsidP="008E016B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Ability to communicate ideas clearly and respectfully in group settings.</w:t>
      </w:r>
    </w:p>
    <w:p w14:paraId="4D359A54" w14:textId="4F30AF97" w:rsidR="00137405" w:rsidRPr="00975EDC" w:rsidRDefault="00137405" w:rsidP="008E016B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"/>
  </w:num>
  <w:num w:numId="2" w16cid:durableId="734819224">
    <w:abstractNumId w:val="10"/>
  </w:num>
  <w:num w:numId="3" w16cid:durableId="375742143">
    <w:abstractNumId w:val="0"/>
  </w:num>
  <w:num w:numId="4" w16cid:durableId="1604269085">
    <w:abstractNumId w:val="5"/>
  </w:num>
  <w:num w:numId="5" w16cid:durableId="1033308204">
    <w:abstractNumId w:val="6"/>
  </w:num>
  <w:num w:numId="6" w16cid:durableId="807170432">
    <w:abstractNumId w:val="7"/>
  </w:num>
  <w:num w:numId="7" w16cid:durableId="1364358247">
    <w:abstractNumId w:val="3"/>
  </w:num>
  <w:num w:numId="8" w16cid:durableId="981737952">
    <w:abstractNumId w:val="12"/>
  </w:num>
  <w:num w:numId="9" w16cid:durableId="1267033061">
    <w:abstractNumId w:val="4"/>
  </w:num>
  <w:num w:numId="10" w16cid:durableId="636028958">
    <w:abstractNumId w:val="9"/>
  </w:num>
  <w:num w:numId="11" w16cid:durableId="504706220">
    <w:abstractNumId w:val="2"/>
  </w:num>
  <w:num w:numId="12" w16cid:durableId="1435130976">
    <w:abstractNumId w:val="11"/>
  </w:num>
  <w:num w:numId="13" w16cid:durableId="74229259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1BB8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2DDA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E016B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D601D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C76B1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2</Pages>
  <Words>319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2025-05-22T19:05:00Z</dcterms:created>
  <dcterms:modified xsi:type="dcterms:W3CDTF">2025-05-22T19:06:00Z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