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51453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51453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594B5E55" w:rsidR="0036064E" w:rsidRPr="007342C1" w:rsidRDefault="00D463A3" w:rsidP="0051453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596270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Key Components to Consider for Telehealth Standard Operating Procedure </w:t>
      </w:r>
      <w:proofErr w:type="gramStart"/>
      <w:r w:rsidR="00596270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From</w:t>
      </w:r>
      <w:proofErr w:type="gramEnd"/>
      <w:r w:rsidR="00596270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the American Telemedicine Association</w:t>
      </w:r>
    </w:p>
    <w:p w14:paraId="3731BFAA" w14:textId="77777777" w:rsidR="0036064E" w:rsidRPr="00154D04" w:rsidRDefault="009046CB" w:rsidP="0051453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5681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51453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29A1479E" w14:textId="5138245E" w:rsidR="00514534" w:rsidRDefault="00514534" w:rsidP="00514534">
      <w:pPr>
        <w:pStyle w:val="MM-BodyText"/>
        <w:spacing w:before="0" w:after="0" w:line="240" w:lineRule="auto"/>
        <w:jc w:val="left"/>
        <w:rPr>
          <w:i/>
          <w:iCs/>
          <w:color w:val="0070C0"/>
        </w:rPr>
      </w:pPr>
      <w:r>
        <w:t xml:space="preserve">For further guidance on the components below, see the </w:t>
      </w:r>
      <w:r w:rsidRPr="593EFB73">
        <w:t>American Telemedicine Association Operating Procedures for Pediatric Telehealth Guidance here</w:t>
      </w:r>
      <w:r>
        <w:t xml:space="preserve">: </w:t>
      </w:r>
      <w:hyperlink r:id="rId12" w:history="1">
        <w:r w:rsidR="005E51DF" w:rsidRPr="00936FEC">
          <w:rPr>
            <w:rStyle w:val="Hyperlink"/>
          </w:rPr>
          <w:t>https://www.aarc.org/wp-content/uploads/2017/09/pediatric-telehealth-procedures-guide.pdf</w:t>
        </w:r>
      </w:hyperlink>
      <w:r w:rsidR="005E51DF">
        <w:t xml:space="preserve">. </w:t>
      </w:r>
    </w:p>
    <w:p w14:paraId="2B454EB8" w14:textId="77777777" w:rsidR="00514534" w:rsidRDefault="00514534" w:rsidP="00514534">
      <w:pPr>
        <w:pStyle w:val="MM-H1"/>
        <w:spacing w:after="0" w:line="240" w:lineRule="auto"/>
        <w:jc w:val="left"/>
        <w:rPr>
          <w:lang w:bidi="en-US"/>
        </w:rPr>
      </w:pPr>
    </w:p>
    <w:p w14:paraId="1CE9A5EA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Informed Consent:</w:t>
      </w:r>
    </w:p>
    <w:p w14:paraId="4A8EB6E8" w14:textId="77777777" w:rsidR="00514534" w:rsidRPr="006A09A0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Clearly explain the nature of telehealth services to caregivers, including potential benefits and limitations.​</w:t>
      </w:r>
    </w:p>
    <w:p w14:paraId="600BC543" w14:textId="77777777" w:rsid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  <w:rPr>
          <w:i/>
          <w:iCs/>
          <w:color w:val="0070C0"/>
        </w:rPr>
      </w:pPr>
      <w:r>
        <w:t>Obtain documented consent before initiating services, ensuring compliance with state-specific regulations regarding minors' consent.</w:t>
      </w:r>
      <w:r w:rsidRPr="593EFB73">
        <w:rPr>
          <w:i/>
          <w:iCs/>
          <w:color w:val="0070C0"/>
        </w:rPr>
        <w:t xml:space="preserve"> ​</w:t>
      </w:r>
    </w:p>
    <w:p w14:paraId="5470C66B" w14:textId="77777777" w:rsidR="00514534" w:rsidRPr="006A09A0" w:rsidRDefault="00514534" w:rsidP="00514534">
      <w:pPr>
        <w:pStyle w:val="MM-BodyText"/>
        <w:spacing w:before="0" w:after="0" w:line="240" w:lineRule="auto"/>
        <w:ind w:left="720" w:firstLine="0"/>
        <w:jc w:val="left"/>
        <w:rPr>
          <w:i/>
          <w:iCs/>
          <w:color w:val="0070C0"/>
        </w:rPr>
      </w:pPr>
    </w:p>
    <w:p w14:paraId="3E9B7328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Patient Verification:</w:t>
      </w:r>
    </w:p>
    <w:p w14:paraId="6C9D9ADF" w14:textId="77777777" w:rsidR="00514534" w:rsidRPr="006A09A0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Implement procedures to verify the identity of both the patient and caregiver at the start of each session.​</w:t>
      </w:r>
    </w:p>
    <w:p w14:paraId="754B58F1" w14:textId="77777777" w:rsid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>
        <w:t>Confirm the physical location of the patient during the telehealth session to address any jurisdictional considerations. ​</w:t>
      </w:r>
    </w:p>
    <w:p w14:paraId="0858B75E" w14:textId="77777777" w:rsidR="00514534" w:rsidRPr="00514534" w:rsidRDefault="00514534" w:rsidP="00514534">
      <w:pPr>
        <w:pStyle w:val="MM-BodyText"/>
        <w:spacing w:before="0" w:after="0" w:line="240" w:lineRule="auto"/>
        <w:ind w:left="720" w:firstLine="0"/>
        <w:jc w:val="left"/>
      </w:pPr>
    </w:p>
    <w:p w14:paraId="66A0002C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Privacy and Confidentiality:</w:t>
      </w:r>
    </w:p>
    <w:p w14:paraId="2333841C" w14:textId="77777777" w:rsidR="00514534" w:rsidRP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>
        <w:t>Ensure that both provider and patient environments are conducive to maintaining confidentiality.​​</w:t>
      </w:r>
    </w:p>
    <w:p w14:paraId="0A5FDDC6" w14:textId="77777777" w:rsid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>
        <w:t>Discuss and document any potential privacy concerns with caregivers prior to the session. ​</w:t>
      </w:r>
    </w:p>
    <w:p w14:paraId="057548E9" w14:textId="77777777" w:rsidR="00514534" w:rsidRPr="00514534" w:rsidRDefault="00514534" w:rsidP="00514534">
      <w:pPr>
        <w:pStyle w:val="MM-BodyText"/>
        <w:spacing w:before="0" w:after="0" w:line="240" w:lineRule="auto"/>
        <w:ind w:left="720" w:firstLine="0"/>
        <w:jc w:val="left"/>
      </w:pPr>
    </w:p>
    <w:p w14:paraId="1ACB9FDE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Emergency Protocols:</w:t>
      </w:r>
    </w:p>
    <w:p w14:paraId="10C0BE33" w14:textId="77777777" w:rsid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>
        <w:t>Establish clear procedures for managing emergencies that may arise during a telehealth session, including identifying local emergency resources based on the patient's location.</w:t>
      </w:r>
    </w:p>
    <w:p w14:paraId="23EA069E" w14:textId="77777777" w:rsidR="00514534" w:rsidRPr="00514534" w:rsidRDefault="00514534" w:rsidP="00514534">
      <w:pPr>
        <w:pStyle w:val="MM-BodyText"/>
        <w:spacing w:before="0" w:after="0" w:line="240" w:lineRule="auto"/>
        <w:ind w:left="720" w:firstLine="0"/>
        <w:jc w:val="left"/>
      </w:pPr>
    </w:p>
    <w:p w14:paraId="4D4D66FE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Documentation:</w:t>
      </w:r>
    </w:p>
    <w:p w14:paraId="2D750E84" w14:textId="77777777" w:rsidR="00514534" w:rsidRP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>
        <w:t>Maintain thorough records of each telehealth encounter, including assessments, interventions, and any technical issues experienced during the session. ​</w:t>
      </w:r>
    </w:p>
    <w:p w14:paraId="7EBABB89" w14:textId="77777777" w:rsidR="00514534" w:rsidRPr="006A09A0" w:rsidRDefault="00514534" w:rsidP="00514534">
      <w:pPr>
        <w:pStyle w:val="MM-BodyText"/>
        <w:spacing w:before="0" w:after="0" w:line="240" w:lineRule="auto"/>
        <w:ind w:left="720" w:firstLine="0"/>
        <w:jc w:val="left"/>
        <w:rPr>
          <w:i/>
          <w:color w:val="0070C0"/>
        </w:rPr>
      </w:pPr>
    </w:p>
    <w:p w14:paraId="5CB971F3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lastRenderedPageBreak/>
        <w:t>Technical Standards:</w:t>
      </w:r>
    </w:p>
    <w:p w14:paraId="515568CB" w14:textId="42D7D45B" w:rsidR="00514534" w:rsidRPr="006A09A0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  <w:rPr>
          <w:i/>
          <w:color w:val="0070C0"/>
        </w:rPr>
      </w:pPr>
      <w:r w:rsidRPr="006A09A0">
        <w:t>Utilize equipment and platforms that are appropriate for pediatric patients, considering factors such as age and developmental stage.</w:t>
      </w:r>
      <w:r w:rsidR="000A0974">
        <w:t xml:space="preserve"> </w:t>
      </w:r>
      <w:hyperlink r:id="rId13" w:history="1">
        <w:r w:rsidR="00713A38" w:rsidRPr="00936FEC">
          <w:rPr>
            <w:rStyle w:val="Hyperlink"/>
          </w:rPr>
          <w:t>https://www.liebertpub.com/doi/10.1089/tmj.2017.0176</w:t>
        </w:r>
      </w:hyperlink>
      <w:r w:rsidR="00713A38">
        <w:t xml:space="preserve"> </w:t>
      </w:r>
    </w:p>
    <w:p w14:paraId="54A214B4" w14:textId="4B4620AB" w:rsidR="00514534" w:rsidRPr="00713A38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  <w:rPr>
          <w:iCs/>
          <w:color w:val="0070C0"/>
        </w:rPr>
      </w:pPr>
      <w:r w:rsidRPr="006A09A0">
        <w:t>Ensure all technology complies with HIPAA and other relevant regulations to protect patient information</w:t>
      </w:r>
      <w:r w:rsidR="00713A38">
        <w:t xml:space="preserve">. </w:t>
      </w:r>
      <w:hyperlink r:id="rId14" w:history="1">
        <w:r w:rsidR="00713A38" w:rsidRPr="00936FEC">
          <w:rPr>
            <w:rStyle w:val="Hyperlink"/>
            <w:iCs/>
          </w:rPr>
          <w:t>https://www.aarc.org/wp-content/uploads/2017/09/pediatric-telehealth-procedures-guide.pdf</w:t>
        </w:r>
      </w:hyperlink>
      <w:r w:rsidR="00713A38" w:rsidRPr="00713A38">
        <w:rPr>
          <w:iCs/>
          <w:color w:val="0070C0"/>
        </w:rPr>
        <w:t xml:space="preserve"> </w:t>
      </w:r>
    </w:p>
    <w:p w14:paraId="690118E0" w14:textId="77777777" w:rsidR="00514534" w:rsidRPr="006A09A0" w:rsidRDefault="00514534" w:rsidP="00514534">
      <w:pPr>
        <w:pStyle w:val="MM-BodyText"/>
        <w:spacing w:before="0" w:after="0" w:line="240" w:lineRule="auto"/>
        <w:ind w:left="720" w:firstLine="0"/>
        <w:jc w:val="left"/>
        <w:rPr>
          <w:i/>
          <w:color w:val="0070C0"/>
        </w:rPr>
      </w:pPr>
    </w:p>
    <w:p w14:paraId="6A244142" w14:textId="77777777" w:rsidR="00514534" w:rsidRPr="006A09A0" w:rsidRDefault="00514534" w:rsidP="00514534">
      <w:pPr>
        <w:pStyle w:val="MM-BodyText"/>
        <w:numPr>
          <w:ilvl w:val="0"/>
          <w:numId w:val="2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Provider Training:</w:t>
      </w:r>
    </w:p>
    <w:p w14:paraId="0BE872CC" w14:textId="77777777" w:rsidR="00514534" w:rsidRDefault="00514534" w:rsidP="00514534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Offer specialized training for providers on conducting telehealth visits with young children, focusing on engagement strategies and developmental considerations. ​</w:t>
      </w:r>
    </w:p>
    <w:p w14:paraId="4D359A54" w14:textId="4E99F9C4" w:rsidR="00137405" w:rsidRPr="0020418F" w:rsidRDefault="00137405" w:rsidP="00514534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5"/>
      <w:footerReference w:type="first" r:id="rId16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4336E29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2FE"/>
    <w:multiLevelType w:val="hybridMultilevel"/>
    <w:tmpl w:val="7DAA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B63"/>
    <w:multiLevelType w:val="hybridMultilevel"/>
    <w:tmpl w:val="52C24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F395D"/>
    <w:multiLevelType w:val="hybridMultilevel"/>
    <w:tmpl w:val="BF56C6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6" w15:restartNumberingAfterBreak="0">
    <w:nsid w:val="31734C7C"/>
    <w:multiLevelType w:val="hybridMultilevel"/>
    <w:tmpl w:val="CE94BE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32C4AFD"/>
    <w:multiLevelType w:val="hybridMultilevel"/>
    <w:tmpl w:val="A008DF40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C015A"/>
    <w:multiLevelType w:val="hybridMultilevel"/>
    <w:tmpl w:val="2FE834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0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3687"/>
    <w:multiLevelType w:val="hybridMultilevel"/>
    <w:tmpl w:val="0EB6B8FA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3F1C"/>
    <w:multiLevelType w:val="hybridMultilevel"/>
    <w:tmpl w:val="D0246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F14DB9"/>
    <w:multiLevelType w:val="hybridMultilevel"/>
    <w:tmpl w:val="B7CEEF60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6C58FA"/>
    <w:multiLevelType w:val="hybridMultilevel"/>
    <w:tmpl w:val="503ED5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025CD4"/>
    <w:multiLevelType w:val="hybridMultilevel"/>
    <w:tmpl w:val="9EE683A4"/>
    <w:lvl w:ilvl="0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5542F"/>
    <w:multiLevelType w:val="hybridMultilevel"/>
    <w:tmpl w:val="566AB0F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3F04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639A2"/>
    <w:multiLevelType w:val="hybridMultilevel"/>
    <w:tmpl w:val="9910AAC4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A125D"/>
    <w:multiLevelType w:val="hybridMultilevel"/>
    <w:tmpl w:val="AB14A1E8"/>
    <w:lvl w:ilvl="0" w:tplc="5DB0BE1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0DF6527"/>
    <w:multiLevelType w:val="hybridMultilevel"/>
    <w:tmpl w:val="CF905976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C3655"/>
    <w:multiLevelType w:val="hybridMultilevel"/>
    <w:tmpl w:val="0E9AA3B2"/>
    <w:lvl w:ilvl="0" w:tplc="799A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26"/>
  </w:num>
  <w:num w:numId="2" w16cid:durableId="1346977461">
    <w:abstractNumId w:val="10"/>
  </w:num>
  <w:num w:numId="3" w16cid:durableId="888032234">
    <w:abstractNumId w:val="16"/>
  </w:num>
  <w:num w:numId="4" w16cid:durableId="1186480876">
    <w:abstractNumId w:val="4"/>
  </w:num>
  <w:num w:numId="5" w16cid:durableId="1572890594">
    <w:abstractNumId w:val="8"/>
  </w:num>
  <w:num w:numId="6" w16cid:durableId="2128498728">
    <w:abstractNumId w:val="18"/>
  </w:num>
  <w:num w:numId="7" w16cid:durableId="1210457425">
    <w:abstractNumId w:val="14"/>
  </w:num>
  <w:num w:numId="8" w16cid:durableId="1470435596">
    <w:abstractNumId w:val="3"/>
  </w:num>
  <w:num w:numId="9" w16cid:durableId="1792550102">
    <w:abstractNumId w:val="19"/>
  </w:num>
  <w:num w:numId="10" w16cid:durableId="632298390">
    <w:abstractNumId w:val="25"/>
  </w:num>
  <w:num w:numId="11" w16cid:durableId="1146824549">
    <w:abstractNumId w:val="1"/>
  </w:num>
  <w:num w:numId="12" w16cid:durableId="1886208982">
    <w:abstractNumId w:val="6"/>
  </w:num>
  <w:num w:numId="13" w16cid:durableId="1630696736">
    <w:abstractNumId w:val="15"/>
  </w:num>
  <w:num w:numId="14" w16cid:durableId="2133741499">
    <w:abstractNumId w:val="5"/>
  </w:num>
  <w:num w:numId="15" w16cid:durableId="2031759933">
    <w:abstractNumId w:val="2"/>
  </w:num>
  <w:num w:numId="16" w16cid:durableId="498933263">
    <w:abstractNumId w:val="12"/>
  </w:num>
  <w:num w:numId="17" w16cid:durableId="38281694">
    <w:abstractNumId w:val="9"/>
  </w:num>
  <w:num w:numId="18" w16cid:durableId="235940160">
    <w:abstractNumId w:val="0"/>
  </w:num>
  <w:num w:numId="19" w16cid:durableId="689571878">
    <w:abstractNumId w:val="20"/>
  </w:num>
  <w:num w:numId="20" w16cid:durableId="1952779212">
    <w:abstractNumId w:val="17"/>
  </w:num>
  <w:num w:numId="21" w16cid:durableId="1845389049">
    <w:abstractNumId w:val="22"/>
  </w:num>
  <w:num w:numId="22" w16cid:durableId="1044674864">
    <w:abstractNumId w:val="23"/>
  </w:num>
  <w:num w:numId="23" w16cid:durableId="1358508832">
    <w:abstractNumId w:val="11"/>
  </w:num>
  <w:num w:numId="24" w16cid:durableId="106431468">
    <w:abstractNumId w:val="24"/>
  </w:num>
  <w:num w:numId="25" w16cid:durableId="186261989">
    <w:abstractNumId w:val="7"/>
  </w:num>
  <w:num w:numId="26" w16cid:durableId="722020119">
    <w:abstractNumId w:val="21"/>
  </w:num>
  <w:num w:numId="27" w16cid:durableId="206374616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2E62"/>
    <w:rsid w:val="00584061"/>
    <w:rsid w:val="00596270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1DF"/>
    <w:rsid w:val="005E55D9"/>
    <w:rsid w:val="005F755A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ebertpub.com/doi/10.1089/tmj.2017.017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rc.org/wp-content/uploads/2017/09/pediatric-telehealth-procedures-guid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arc.org/wp-content/uploads/2017/09/pediatric-telehealth-procedures-guid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2</Pages>
  <Words>237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2025-05-27T22:48:00Z</dcterms:created>
  <dcterms:modified xsi:type="dcterms:W3CDTF">2025-05-27T22:52:00Z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